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D82E7" w14:textId="1BBE8C17" w:rsidR="00F732BB" w:rsidRDefault="00F930A2" w:rsidP="0037261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PUC </w:t>
      </w:r>
      <w:r w:rsidR="00CD525D">
        <w:rPr>
          <w:rFonts w:ascii="Times New Roman" w:hAnsi="Times New Roman" w:cs="Times New Roman"/>
          <w:b/>
          <w:bCs/>
          <w:sz w:val="24"/>
          <w:szCs w:val="24"/>
        </w:rPr>
        <w:t>PROJECT</w:t>
      </w:r>
      <w:r w:rsidR="00BB0083">
        <w:rPr>
          <w:rFonts w:ascii="Times New Roman" w:hAnsi="Times New Roman" w:cs="Times New Roman"/>
          <w:b/>
          <w:bCs/>
          <w:sz w:val="24"/>
          <w:szCs w:val="24"/>
        </w:rPr>
        <w:t xml:space="preserve"> NO. </w:t>
      </w:r>
      <w:r w:rsidR="00817E7E" w:rsidRPr="00817E7E">
        <w:rPr>
          <w:rFonts w:ascii="Times New Roman" w:hAnsi="Times New Roman" w:cs="Times New Roman"/>
          <w:b/>
          <w:bCs/>
          <w:sz w:val="24"/>
          <w:szCs w:val="24"/>
        </w:rPr>
        <w:t>52287</w:t>
      </w:r>
    </w:p>
    <w:p w14:paraId="78111E73" w14:textId="77777777" w:rsidR="00372617" w:rsidRDefault="00372617" w:rsidP="00372617">
      <w:pPr>
        <w:spacing w:after="0" w:line="240" w:lineRule="auto"/>
        <w:jc w:val="center"/>
        <w:rPr>
          <w:rFonts w:ascii="Times New Roman" w:hAnsi="Times New Roman"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5"/>
        <w:gridCol w:w="270"/>
        <w:gridCol w:w="4495"/>
      </w:tblGrid>
      <w:tr w:rsidR="00BB0083" w14:paraId="50097111" w14:textId="77777777" w:rsidTr="003019A9">
        <w:tc>
          <w:tcPr>
            <w:tcW w:w="4585" w:type="dxa"/>
          </w:tcPr>
          <w:p w14:paraId="1A1AF921" w14:textId="77777777" w:rsidR="002106D5" w:rsidRPr="002106D5" w:rsidRDefault="002106D5" w:rsidP="00372617">
            <w:pPr>
              <w:rPr>
                <w:rFonts w:ascii="Times New Roman" w:hAnsi="Times New Roman" w:cs="Times New Roman"/>
                <w:b/>
                <w:bCs/>
                <w:sz w:val="24"/>
                <w:szCs w:val="24"/>
              </w:rPr>
            </w:pPr>
          </w:p>
          <w:p w14:paraId="6212BA43" w14:textId="7D2AF7D4" w:rsidR="00BB0083" w:rsidRDefault="00817E7E" w:rsidP="00372617">
            <w:pPr>
              <w:rPr>
                <w:rFonts w:ascii="Times New Roman" w:hAnsi="Times New Roman" w:cs="Times New Roman"/>
                <w:b/>
                <w:bCs/>
                <w:sz w:val="24"/>
                <w:szCs w:val="24"/>
              </w:rPr>
            </w:pPr>
            <w:r w:rsidRPr="00817E7E">
              <w:rPr>
                <w:rFonts w:ascii="Times New Roman" w:hAnsi="Times New Roman" w:cs="Times New Roman"/>
                <w:b/>
                <w:bCs/>
                <w:sz w:val="24"/>
                <w:szCs w:val="24"/>
              </w:rPr>
              <w:t xml:space="preserve">POWER OUTAGE ALERT CRITERIA </w:t>
            </w:r>
          </w:p>
        </w:tc>
        <w:tc>
          <w:tcPr>
            <w:tcW w:w="270" w:type="dxa"/>
          </w:tcPr>
          <w:p w14:paraId="4AA5FE55" w14:textId="77777777" w:rsidR="00BB0083" w:rsidRDefault="00BB0083" w:rsidP="00372617">
            <w:pPr>
              <w:jc w:val="center"/>
              <w:rPr>
                <w:rFonts w:ascii="Times New Roman" w:hAnsi="Times New Roman" w:cs="Times New Roman"/>
                <w:b/>
                <w:bCs/>
                <w:sz w:val="24"/>
                <w:szCs w:val="24"/>
              </w:rPr>
            </w:pPr>
            <w:r>
              <w:rPr>
                <w:rFonts w:ascii="Times New Roman" w:hAnsi="Times New Roman" w:cs="Times New Roman"/>
                <w:b/>
                <w:bCs/>
                <w:sz w:val="24"/>
                <w:szCs w:val="24"/>
              </w:rPr>
              <w:t>§</w:t>
            </w:r>
          </w:p>
          <w:p w14:paraId="233E9D7F" w14:textId="77777777" w:rsidR="00BB0083" w:rsidRDefault="00BB0083" w:rsidP="00372617">
            <w:pPr>
              <w:jc w:val="center"/>
              <w:rPr>
                <w:rFonts w:ascii="Times New Roman" w:hAnsi="Times New Roman" w:cs="Times New Roman"/>
                <w:b/>
                <w:bCs/>
                <w:sz w:val="24"/>
                <w:szCs w:val="24"/>
              </w:rPr>
            </w:pPr>
            <w:r>
              <w:rPr>
                <w:rFonts w:ascii="Times New Roman" w:hAnsi="Times New Roman" w:cs="Times New Roman"/>
                <w:b/>
                <w:bCs/>
                <w:sz w:val="24"/>
                <w:szCs w:val="24"/>
              </w:rPr>
              <w:t>§</w:t>
            </w:r>
          </w:p>
          <w:p w14:paraId="038074C2" w14:textId="7873DD04" w:rsidR="00BB0083" w:rsidRDefault="00BB0083" w:rsidP="00372617">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4495" w:type="dxa"/>
            <w:vAlign w:val="center"/>
          </w:tcPr>
          <w:p w14:paraId="288CB19E" w14:textId="3886B0A6" w:rsidR="00F930A2" w:rsidRDefault="00F930A2" w:rsidP="00372617">
            <w:pPr>
              <w:jc w:val="center"/>
              <w:rPr>
                <w:rFonts w:ascii="Times New Roman" w:hAnsi="Times New Roman" w:cs="Times New Roman"/>
                <w:b/>
                <w:bCs/>
                <w:sz w:val="24"/>
                <w:szCs w:val="24"/>
              </w:rPr>
            </w:pPr>
            <w:r>
              <w:rPr>
                <w:rFonts w:ascii="Times New Roman" w:hAnsi="Times New Roman" w:cs="Times New Roman"/>
                <w:b/>
                <w:bCs/>
                <w:sz w:val="24"/>
                <w:szCs w:val="24"/>
              </w:rPr>
              <w:t>PUBLIC UTILITY COMMISSION</w:t>
            </w:r>
          </w:p>
          <w:p w14:paraId="22339744" w14:textId="77777777" w:rsidR="00F930A2" w:rsidRDefault="00F930A2" w:rsidP="00372617">
            <w:pPr>
              <w:jc w:val="center"/>
              <w:rPr>
                <w:rFonts w:ascii="Times New Roman" w:hAnsi="Times New Roman" w:cs="Times New Roman"/>
                <w:b/>
                <w:bCs/>
                <w:sz w:val="24"/>
                <w:szCs w:val="24"/>
              </w:rPr>
            </w:pPr>
          </w:p>
          <w:p w14:paraId="720BF6D6" w14:textId="2D90D6C9" w:rsidR="00BB0083" w:rsidRDefault="00F930A2" w:rsidP="00372617">
            <w:pPr>
              <w:jc w:val="center"/>
              <w:rPr>
                <w:rFonts w:ascii="Times New Roman" w:hAnsi="Times New Roman" w:cs="Times New Roman"/>
                <w:b/>
                <w:bCs/>
                <w:sz w:val="24"/>
                <w:szCs w:val="24"/>
              </w:rPr>
            </w:pPr>
            <w:r>
              <w:rPr>
                <w:rFonts w:ascii="Times New Roman" w:hAnsi="Times New Roman" w:cs="Times New Roman"/>
                <w:b/>
                <w:bCs/>
                <w:sz w:val="24"/>
                <w:szCs w:val="24"/>
              </w:rPr>
              <w:t xml:space="preserve"> OF TEXAS </w:t>
            </w:r>
          </w:p>
        </w:tc>
      </w:tr>
    </w:tbl>
    <w:p w14:paraId="3799F64A" w14:textId="77777777" w:rsidR="00372617" w:rsidRDefault="00372617" w:rsidP="00372617">
      <w:pPr>
        <w:spacing w:after="0" w:line="240" w:lineRule="auto"/>
        <w:jc w:val="center"/>
        <w:rPr>
          <w:rFonts w:ascii="Times New Roman" w:hAnsi="Times New Roman" w:cs="Times New Roman"/>
          <w:b/>
          <w:bCs/>
          <w:sz w:val="24"/>
          <w:szCs w:val="24"/>
          <w:u w:val="single"/>
        </w:rPr>
      </w:pPr>
    </w:p>
    <w:p w14:paraId="0CE6AE79" w14:textId="43CA28A6" w:rsidR="00430522" w:rsidRDefault="00430522" w:rsidP="00372617">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TEXAS-NEW MEXICO POWER COMPANY’S RESPONSE TO </w:t>
      </w:r>
      <w:r w:rsidR="00BD2289">
        <w:rPr>
          <w:rFonts w:ascii="Times New Roman" w:hAnsi="Times New Roman" w:cs="Times New Roman"/>
          <w:b/>
          <w:bCs/>
          <w:sz w:val="24"/>
          <w:szCs w:val="24"/>
          <w:u w:val="single"/>
        </w:rPr>
        <w:t xml:space="preserve">COMMISSION STAFF’S </w:t>
      </w:r>
      <w:r w:rsidR="00817E7E">
        <w:rPr>
          <w:rFonts w:ascii="Times New Roman" w:hAnsi="Times New Roman" w:cs="Times New Roman"/>
          <w:b/>
          <w:bCs/>
          <w:sz w:val="24"/>
          <w:szCs w:val="24"/>
          <w:u w:val="single"/>
        </w:rPr>
        <w:t>REQUEST</w:t>
      </w:r>
      <w:r w:rsidR="00BD2289">
        <w:rPr>
          <w:rFonts w:ascii="Times New Roman" w:hAnsi="Times New Roman" w:cs="Times New Roman"/>
          <w:b/>
          <w:bCs/>
          <w:sz w:val="24"/>
          <w:szCs w:val="24"/>
          <w:u w:val="single"/>
        </w:rPr>
        <w:t xml:space="preserve"> FOR COMMENT</w:t>
      </w:r>
    </w:p>
    <w:p w14:paraId="3D864059" w14:textId="77777777" w:rsidR="00372617" w:rsidRDefault="00372617" w:rsidP="00372617">
      <w:pPr>
        <w:spacing w:after="0" w:line="240" w:lineRule="auto"/>
        <w:jc w:val="center"/>
        <w:rPr>
          <w:rFonts w:ascii="Times New Roman" w:hAnsi="Times New Roman" w:cs="Times New Roman"/>
          <w:b/>
          <w:bCs/>
          <w:sz w:val="24"/>
          <w:szCs w:val="24"/>
          <w:u w:val="single"/>
        </w:rPr>
      </w:pPr>
    </w:p>
    <w:p w14:paraId="50E0623C" w14:textId="50E13ADA" w:rsidR="00BD2289" w:rsidRDefault="00430522" w:rsidP="00AE0B6C">
      <w:pPr>
        <w:spacing w:after="0" w:line="480" w:lineRule="auto"/>
        <w:ind w:firstLine="720"/>
        <w:jc w:val="both"/>
        <w:rPr>
          <w:rFonts w:ascii="Times New Roman" w:eastAsia="Times New Roman" w:hAnsi="Times New Roman" w:cs="Times New Roman"/>
          <w:sz w:val="24"/>
          <w:szCs w:val="24"/>
        </w:rPr>
      </w:pPr>
      <w:r w:rsidRPr="00430522">
        <w:rPr>
          <w:rFonts w:ascii="Times New Roman" w:eastAsia="Times New Roman" w:hAnsi="Times New Roman" w:cs="Times New Roman"/>
          <w:sz w:val="24"/>
          <w:szCs w:val="24"/>
        </w:rPr>
        <w:t xml:space="preserve">TEXAS-NEW MEXICO POWER COMPANY (“TNMP”) </w:t>
      </w:r>
      <w:r w:rsidR="00BD2289">
        <w:rPr>
          <w:rFonts w:ascii="Times New Roman" w:eastAsia="Times New Roman" w:hAnsi="Times New Roman" w:cs="Times New Roman"/>
          <w:sz w:val="24"/>
          <w:szCs w:val="24"/>
        </w:rPr>
        <w:t xml:space="preserve">submits the following response to the request for comments on questions issued by the Staff of the Public Utility Commission of Texas </w:t>
      </w:r>
      <w:r w:rsidR="00817E7E" w:rsidRPr="00817E7E">
        <w:rPr>
          <w:rFonts w:ascii="Times New Roman" w:eastAsia="Times New Roman" w:hAnsi="Times New Roman" w:cs="Times New Roman"/>
          <w:sz w:val="24"/>
          <w:szCs w:val="24"/>
        </w:rPr>
        <w:t>in developing criteria for the content, activation, and termination of a power alert system</w:t>
      </w:r>
      <w:r w:rsidR="00BD2289">
        <w:rPr>
          <w:rFonts w:ascii="Times New Roman" w:eastAsia="Times New Roman" w:hAnsi="Times New Roman" w:cs="Times New Roman"/>
          <w:sz w:val="24"/>
          <w:szCs w:val="24"/>
        </w:rPr>
        <w:t xml:space="preserve">.  </w:t>
      </w:r>
    </w:p>
    <w:p w14:paraId="570DC8A5" w14:textId="4EDD85D5" w:rsidR="00817E7E" w:rsidRPr="00817E7E" w:rsidRDefault="00817E7E" w:rsidP="00817E7E">
      <w:pPr>
        <w:autoSpaceDE w:val="0"/>
        <w:autoSpaceDN w:val="0"/>
        <w:adjustRightInd w:val="0"/>
        <w:spacing w:after="0" w:line="240" w:lineRule="auto"/>
        <w:jc w:val="center"/>
        <w:rPr>
          <w:rFonts w:ascii="Times New Roman" w:eastAsia="Calibri" w:hAnsi="Times New Roman" w:cs="Times New Roman"/>
          <w:b/>
          <w:sz w:val="24"/>
          <w:szCs w:val="24"/>
        </w:rPr>
      </w:pPr>
      <w:r w:rsidRPr="00817E7E">
        <w:rPr>
          <w:rFonts w:ascii="Times New Roman" w:eastAsia="Calibri" w:hAnsi="Times New Roman" w:cs="Times New Roman"/>
          <w:b/>
          <w:sz w:val="24"/>
          <w:szCs w:val="24"/>
        </w:rPr>
        <w:t xml:space="preserve"> Response to Staff’s Questions</w:t>
      </w:r>
    </w:p>
    <w:p w14:paraId="46D74FA3" w14:textId="77777777"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sz w:val="24"/>
          <w:szCs w:val="24"/>
        </w:rPr>
      </w:pPr>
    </w:p>
    <w:p w14:paraId="4D16F70E" w14:textId="77777777" w:rsidR="00817E7E" w:rsidRPr="00817E7E" w:rsidRDefault="00817E7E" w:rsidP="00817E7E">
      <w:pPr>
        <w:numPr>
          <w:ilvl w:val="0"/>
          <w:numId w:val="3"/>
        </w:numPr>
        <w:autoSpaceDE w:val="0"/>
        <w:autoSpaceDN w:val="0"/>
        <w:adjustRightInd w:val="0"/>
        <w:spacing w:after="0" w:line="240" w:lineRule="auto"/>
        <w:contextualSpacing/>
        <w:jc w:val="both"/>
        <w:rPr>
          <w:rFonts w:ascii="Times New Roman" w:eastAsia="Calibri" w:hAnsi="Times New Roman" w:cs="Times New Roman"/>
          <w:b/>
          <w:bCs/>
          <w:iCs/>
          <w:sz w:val="24"/>
          <w:szCs w:val="24"/>
        </w:rPr>
      </w:pPr>
      <w:r w:rsidRPr="00817E7E">
        <w:rPr>
          <w:rFonts w:ascii="Times New Roman" w:eastAsia="Calibri" w:hAnsi="Times New Roman" w:cs="Times New Roman"/>
          <w:b/>
          <w:bCs/>
          <w:iCs/>
          <w:sz w:val="24"/>
          <w:szCs w:val="24"/>
        </w:rPr>
        <w:t>Government Code § 411.301(a) states the alert should “be activated when the power supply in this state may be inadequate to meet demand.”  Should the Public Utility Commission of Texas interpret this to mean that an alert will be activated when there is inadequate system-wide power supply to meet system-wide load demand?  Should the commission also interpret this to mean that an alert will be activated when there are regional constraints that only restrict power supply to certain regions?</w:t>
      </w:r>
    </w:p>
    <w:p w14:paraId="0510C1EF" w14:textId="77777777"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sz w:val="24"/>
          <w:szCs w:val="24"/>
        </w:rPr>
      </w:pPr>
    </w:p>
    <w:p w14:paraId="6EECAC3D" w14:textId="085EAF6B"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TNMP’s</w:t>
      </w:r>
      <w:r w:rsidRPr="00817E7E">
        <w:rPr>
          <w:rFonts w:ascii="Times New Roman" w:eastAsia="Calibri" w:hAnsi="Times New Roman" w:cs="Times New Roman"/>
          <w:b/>
          <w:sz w:val="24"/>
          <w:szCs w:val="24"/>
        </w:rPr>
        <w:t xml:space="preserve"> Response:  </w:t>
      </w:r>
    </w:p>
    <w:p w14:paraId="089885C4" w14:textId="77777777"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sz w:val="24"/>
          <w:szCs w:val="24"/>
        </w:rPr>
      </w:pPr>
    </w:p>
    <w:p w14:paraId="5E506F5E" w14:textId="33A03EBE" w:rsidR="00817E7E" w:rsidRPr="00817E7E" w:rsidRDefault="00817E7E" w:rsidP="00372617">
      <w:pPr>
        <w:autoSpaceDE w:val="0"/>
        <w:autoSpaceDN w:val="0"/>
        <w:adjustRightInd w:val="0"/>
        <w:spacing w:after="0" w:line="360" w:lineRule="auto"/>
        <w:jc w:val="both"/>
        <w:rPr>
          <w:rFonts w:ascii="Times New Roman" w:eastAsia="Calibri" w:hAnsi="Times New Roman" w:cs="Times New Roman"/>
          <w:sz w:val="24"/>
          <w:szCs w:val="24"/>
        </w:rPr>
      </w:pPr>
      <w:r w:rsidRPr="00817E7E">
        <w:rPr>
          <w:rFonts w:ascii="Times New Roman" w:eastAsia="Calibri" w:hAnsi="Times New Roman" w:cs="Times New Roman"/>
          <w:sz w:val="24"/>
          <w:szCs w:val="24"/>
        </w:rPr>
        <w:tab/>
      </w:r>
      <w:r>
        <w:rPr>
          <w:rFonts w:ascii="Times New Roman" w:eastAsia="Calibri" w:hAnsi="Times New Roman" w:cs="Times New Roman"/>
          <w:sz w:val="24"/>
          <w:szCs w:val="24"/>
        </w:rPr>
        <w:t xml:space="preserve">TNMP interprets </w:t>
      </w:r>
      <w:r w:rsidRPr="00817E7E">
        <w:rPr>
          <w:rFonts w:ascii="Times New Roman" w:eastAsia="Calibri" w:hAnsi="Times New Roman" w:cs="Times New Roman"/>
          <w:sz w:val="24"/>
          <w:szCs w:val="24"/>
        </w:rPr>
        <w:t>§ 411.301</w:t>
      </w:r>
      <w:r>
        <w:rPr>
          <w:rFonts w:ascii="Times New Roman" w:eastAsia="Calibri" w:hAnsi="Times New Roman" w:cs="Times New Roman"/>
          <w:sz w:val="24"/>
          <w:szCs w:val="24"/>
        </w:rPr>
        <w:t xml:space="preserve"> as intending an alert to</w:t>
      </w:r>
      <w:r w:rsidRPr="00817E7E">
        <w:rPr>
          <w:rFonts w:ascii="Times New Roman" w:eastAsia="Calibri" w:hAnsi="Times New Roman" w:cs="Times New Roman"/>
          <w:sz w:val="24"/>
          <w:szCs w:val="24"/>
        </w:rPr>
        <w:t xml:space="preserve"> be </w:t>
      </w:r>
      <w:proofErr w:type="gramStart"/>
      <w:r w:rsidRPr="00817E7E">
        <w:rPr>
          <w:rFonts w:ascii="Times New Roman" w:eastAsia="Calibri" w:hAnsi="Times New Roman" w:cs="Times New Roman"/>
          <w:sz w:val="24"/>
          <w:szCs w:val="24"/>
        </w:rPr>
        <w:t xml:space="preserve">activated </w:t>
      </w:r>
      <w:r>
        <w:rPr>
          <w:rFonts w:ascii="Times New Roman" w:eastAsia="Calibri" w:hAnsi="Times New Roman" w:cs="Times New Roman"/>
          <w:sz w:val="24"/>
          <w:szCs w:val="24"/>
        </w:rPr>
        <w:t xml:space="preserve"> for</w:t>
      </w:r>
      <w:proofErr w:type="gramEnd"/>
      <w:r>
        <w:rPr>
          <w:rFonts w:ascii="Times New Roman" w:eastAsia="Calibri" w:hAnsi="Times New Roman" w:cs="Times New Roman"/>
          <w:sz w:val="24"/>
          <w:szCs w:val="24"/>
        </w:rPr>
        <w:t xml:space="preserve"> both regional constraints</w:t>
      </w:r>
      <w:r w:rsidR="001F2907">
        <w:rPr>
          <w:rFonts w:ascii="Times New Roman" w:eastAsia="Calibri" w:hAnsi="Times New Roman" w:cs="Times New Roman"/>
          <w:sz w:val="24"/>
          <w:szCs w:val="24"/>
        </w:rPr>
        <w:t xml:space="preserve"> of regional power supply  as well as incidents of </w:t>
      </w:r>
      <w:r>
        <w:rPr>
          <w:rFonts w:ascii="Times New Roman" w:eastAsia="Calibri" w:hAnsi="Times New Roman" w:cs="Times New Roman"/>
          <w:sz w:val="24"/>
          <w:szCs w:val="24"/>
        </w:rPr>
        <w:t xml:space="preserve"> </w:t>
      </w:r>
      <w:r w:rsidRPr="00817E7E">
        <w:rPr>
          <w:rFonts w:ascii="Times New Roman" w:eastAsia="Calibri" w:hAnsi="Times New Roman" w:cs="Times New Roman"/>
          <w:sz w:val="24"/>
          <w:szCs w:val="24"/>
        </w:rPr>
        <w:t>inadequate system-wide power supply to meet system-wide load demand</w:t>
      </w:r>
      <w:r w:rsidR="001F2907">
        <w:rPr>
          <w:rFonts w:ascii="Times New Roman" w:eastAsia="Calibri" w:hAnsi="Times New Roman" w:cs="Times New Roman"/>
          <w:sz w:val="24"/>
          <w:szCs w:val="24"/>
        </w:rPr>
        <w:t>.</w:t>
      </w:r>
      <w:r w:rsidRPr="00817E7E">
        <w:rPr>
          <w:rFonts w:ascii="Times New Roman" w:eastAsia="Calibri" w:hAnsi="Times New Roman" w:cs="Times New Roman"/>
          <w:sz w:val="24"/>
          <w:szCs w:val="24"/>
        </w:rPr>
        <w:t xml:space="preserve"> </w:t>
      </w:r>
      <w:r w:rsidR="001F2907">
        <w:rPr>
          <w:rFonts w:ascii="Times New Roman" w:eastAsia="Calibri" w:hAnsi="Times New Roman" w:cs="Times New Roman"/>
          <w:sz w:val="24"/>
          <w:szCs w:val="24"/>
        </w:rPr>
        <w:t xml:space="preserve">Specifically, </w:t>
      </w:r>
      <w:r w:rsidRPr="00817E7E">
        <w:rPr>
          <w:rFonts w:ascii="Times New Roman" w:eastAsia="Calibri" w:hAnsi="Times New Roman" w:cs="Times New Roman"/>
          <w:sz w:val="24"/>
          <w:szCs w:val="24"/>
        </w:rPr>
        <w:t xml:space="preserve">§ 411.301(b) states that the criteria must provide for an alert to be regional or statewide. </w:t>
      </w:r>
    </w:p>
    <w:p w14:paraId="4ECD47B5" w14:textId="77777777" w:rsidR="00817E7E" w:rsidRPr="00817E7E" w:rsidRDefault="00817E7E" w:rsidP="00817E7E">
      <w:pPr>
        <w:autoSpaceDE w:val="0"/>
        <w:autoSpaceDN w:val="0"/>
        <w:adjustRightInd w:val="0"/>
        <w:spacing w:after="0" w:line="360" w:lineRule="auto"/>
        <w:jc w:val="both"/>
        <w:rPr>
          <w:rFonts w:ascii="Times New Roman" w:eastAsia="Calibri" w:hAnsi="Times New Roman" w:cs="Times New Roman"/>
          <w:color w:val="000000"/>
          <w:sz w:val="24"/>
          <w:szCs w:val="24"/>
        </w:rPr>
      </w:pPr>
      <w:r w:rsidRPr="00817E7E">
        <w:rPr>
          <w:rFonts w:ascii="Times New Roman" w:eastAsia="Calibri" w:hAnsi="Times New Roman" w:cs="Times New Roman"/>
          <w:sz w:val="24"/>
          <w:szCs w:val="24"/>
        </w:rPr>
        <w:tab/>
      </w:r>
    </w:p>
    <w:p w14:paraId="3444CD6F" w14:textId="77777777" w:rsidR="00817E7E" w:rsidRPr="00817E7E" w:rsidRDefault="00817E7E" w:rsidP="00817E7E">
      <w:pPr>
        <w:numPr>
          <w:ilvl w:val="0"/>
          <w:numId w:val="3"/>
        </w:numPr>
        <w:autoSpaceDE w:val="0"/>
        <w:autoSpaceDN w:val="0"/>
        <w:adjustRightInd w:val="0"/>
        <w:spacing w:after="0" w:line="240" w:lineRule="auto"/>
        <w:contextualSpacing/>
        <w:jc w:val="both"/>
        <w:rPr>
          <w:rFonts w:ascii="Times New Roman" w:eastAsia="Calibri" w:hAnsi="Times New Roman" w:cs="Times New Roman"/>
          <w:b/>
          <w:bCs/>
          <w:iCs/>
          <w:sz w:val="24"/>
          <w:szCs w:val="24"/>
        </w:rPr>
      </w:pPr>
      <w:r w:rsidRPr="00817E7E">
        <w:rPr>
          <w:rFonts w:ascii="Times New Roman" w:eastAsia="Calibri" w:hAnsi="Times New Roman" w:cs="Times New Roman"/>
          <w:b/>
          <w:bCs/>
          <w:iCs/>
          <w:sz w:val="24"/>
          <w:szCs w:val="24"/>
        </w:rPr>
        <w:t>Government Code § 411.301(b) states, “The criteria must provide for an alert to be regional or statewide.”  How should the different regions be defined?</w:t>
      </w:r>
    </w:p>
    <w:p w14:paraId="4E89FDA1" w14:textId="77777777" w:rsidR="00817E7E" w:rsidRPr="00817E7E" w:rsidRDefault="00817E7E" w:rsidP="00817E7E">
      <w:pPr>
        <w:autoSpaceDE w:val="0"/>
        <w:autoSpaceDN w:val="0"/>
        <w:adjustRightInd w:val="0"/>
        <w:spacing w:after="0" w:line="240" w:lineRule="auto"/>
        <w:ind w:left="720"/>
        <w:contextualSpacing/>
        <w:rPr>
          <w:rFonts w:ascii="Times New Roman" w:eastAsia="Calibri" w:hAnsi="Times New Roman" w:cs="Times New Roman"/>
          <w:i/>
          <w:sz w:val="24"/>
          <w:szCs w:val="24"/>
        </w:rPr>
      </w:pPr>
    </w:p>
    <w:p w14:paraId="1ED3EF51" w14:textId="3169AFF3"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TNMP’s</w:t>
      </w:r>
      <w:r w:rsidRPr="00817E7E">
        <w:rPr>
          <w:rFonts w:ascii="Times New Roman" w:eastAsia="Calibri" w:hAnsi="Times New Roman" w:cs="Times New Roman"/>
          <w:b/>
          <w:sz w:val="24"/>
          <w:szCs w:val="24"/>
        </w:rPr>
        <w:t xml:space="preserve"> Response:</w:t>
      </w:r>
    </w:p>
    <w:p w14:paraId="4390CA7F" w14:textId="77777777"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b/>
          <w:sz w:val="24"/>
          <w:szCs w:val="24"/>
        </w:rPr>
      </w:pPr>
    </w:p>
    <w:p w14:paraId="57D86CAF" w14:textId="6FBE1158" w:rsidR="00817E7E" w:rsidRDefault="00817E7E" w:rsidP="00817E7E">
      <w:pPr>
        <w:spacing w:after="0" w:line="360" w:lineRule="auto"/>
        <w:jc w:val="both"/>
        <w:rPr>
          <w:rFonts w:ascii="Times New Roman" w:eastAsia="Calibri" w:hAnsi="Times New Roman" w:cs="Times New Roman"/>
          <w:sz w:val="24"/>
          <w:szCs w:val="24"/>
        </w:rPr>
      </w:pPr>
      <w:r w:rsidRPr="00817E7E">
        <w:rPr>
          <w:rFonts w:ascii="Times New Roman" w:eastAsia="Calibri" w:hAnsi="Times New Roman" w:cs="Times New Roman"/>
          <w:sz w:val="24"/>
          <w:szCs w:val="24"/>
        </w:rPr>
        <w:tab/>
      </w:r>
      <w:r w:rsidR="001F2907">
        <w:rPr>
          <w:rFonts w:ascii="Times New Roman" w:eastAsia="Calibri" w:hAnsi="Times New Roman" w:cs="Times New Roman"/>
          <w:sz w:val="24"/>
          <w:szCs w:val="24"/>
        </w:rPr>
        <w:t>TNMP believes</w:t>
      </w:r>
      <w:r w:rsidRPr="00817E7E">
        <w:rPr>
          <w:rFonts w:ascii="Times New Roman" w:eastAsia="Calibri" w:hAnsi="Times New Roman" w:cs="Times New Roman"/>
          <w:sz w:val="24"/>
          <w:szCs w:val="24"/>
        </w:rPr>
        <w:t xml:space="preserve"> </w:t>
      </w:r>
      <w:r w:rsidR="00E87596" w:rsidRPr="00E87596">
        <w:rPr>
          <w:rFonts w:ascii="Times New Roman" w:eastAsia="Calibri" w:hAnsi="Times New Roman" w:cs="Times New Roman"/>
          <w:sz w:val="24"/>
          <w:szCs w:val="24"/>
        </w:rPr>
        <w:t xml:space="preserve">ERCOT’s </w:t>
      </w:r>
      <w:r w:rsidR="00E87596">
        <w:rPr>
          <w:rFonts w:ascii="Times New Roman" w:eastAsia="Calibri" w:hAnsi="Times New Roman" w:cs="Times New Roman"/>
          <w:sz w:val="24"/>
          <w:szCs w:val="24"/>
        </w:rPr>
        <w:t xml:space="preserve">existing </w:t>
      </w:r>
      <w:proofErr w:type="gramStart"/>
      <w:r w:rsidR="00E87596">
        <w:rPr>
          <w:rFonts w:ascii="Times New Roman" w:eastAsia="Calibri" w:hAnsi="Times New Roman" w:cs="Times New Roman"/>
          <w:sz w:val="24"/>
          <w:szCs w:val="24"/>
        </w:rPr>
        <w:t xml:space="preserve">defined </w:t>
      </w:r>
      <w:r w:rsidR="00E87596" w:rsidRPr="00E87596">
        <w:rPr>
          <w:rFonts w:ascii="Times New Roman" w:eastAsia="Calibri" w:hAnsi="Times New Roman" w:cs="Times New Roman"/>
          <w:sz w:val="24"/>
          <w:szCs w:val="24"/>
        </w:rPr>
        <w:t xml:space="preserve"> Weather</w:t>
      </w:r>
      <w:proofErr w:type="gramEnd"/>
      <w:r w:rsidR="00E87596" w:rsidRPr="00E87596">
        <w:rPr>
          <w:rFonts w:ascii="Times New Roman" w:eastAsia="Calibri" w:hAnsi="Times New Roman" w:cs="Times New Roman"/>
          <w:sz w:val="24"/>
          <w:szCs w:val="24"/>
        </w:rPr>
        <w:t xml:space="preserve"> Zones </w:t>
      </w:r>
      <w:r w:rsidR="00E87596">
        <w:rPr>
          <w:rFonts w:ascii="Times New Roman" w:eastAsia="Calibri" w:hAnsi="Times New Roman" w:cs="Times New Roman"/>
          <w:sz w:val="24"/>
          <w:szCs w:val="24"/>
        </w:rPr>
        <w:t xml:space="preserve"> provide an established  system for demarking </w:t>
      </w:r>
      <w:r w:rsidR="00E87596" w:rsidRPr="00E87596">
        <w:rPr>
          <w:rFonts w:ascii="Times New Roman" w:eastAsia="Calibri" w:hAnsi="Times New Roman" w:cs="Times New Roman"/>
          <w:sz w:val="24"/>
          <w:szCs w:val="24"/>
        </w:rPr>
        <w:t xml:space="preserve">regional alert areas.  </w:t>
      </w:r>
      <w:r w:rsidRPr="00817E7E">
        <w:rPr>
          <w:rFonts w:ascii="Times New Roman" w:eastAsia="Calibri" w:hAnsi="Times New Roman" w:cs="Times New Roman"/>
          <w:sz w:val="24"/>
          <w:szCs w:val="24"/>
        </w:rPr>
        <w:t xml:space="preserve">  </w:t>
      </w:r>
      <w:r w:rsidR="00E87596">
        <w:rPr>
          <w:rFonts w:ascii="Times New Roman" w:eastAsia="Calibri" w:hAnsi="Times New Roman" w:cs="Times New Roman"/>
          <w:sz w:val="24"/>
          <w:szCs w:val="24"/>
        </w:rPr>
        <w:t>As ERCOT guides</w:t>
      </w:r>
      <w:r w:rsidR="00E87596">
        <w:rPr>
          <w:rStyle w:val="FootnoteReference"/>
          <w:rFonts w:ascii="Times New Roman" w:eastAsia="Calibri" w:hAnsi="Times New Roman" w:cs="Times New Roman"/>
          <w:sz w:val="24"/>
          <w:szCs w:val="24"/>
        </w:rPr>
        <w:footnoteReference w:id="1"/>
      </w:r>
      <w:r w:rsidR="00E87596">
        <w:rPr>
          <w:rFonts w:ascii="Times New Roman" w:eastAsia="Calibri" w:hAnsi="Times New Roman" w:cs="Times New Roman"/>
          <w:sz w:val="24"/>
          <w:szCs w:val="24"/>
        </w:rPr>
        <w:t xml:space="preserve"> </w:t>
      </w:r>
      <w:proofErr w:type="gramStart"/>
      <w:r w:rsidR="00E87596">
        <w:rPr>
          <w:rFonts w:ascii="Times New Roman" w:eastAsia="Calibri" w:hAnsi="Times New Roman" w:cs="Times New Roman"/>
          <w:sz w:val="24"/>
          <w:szCs w:val="24"/>
        </w:rPr>
        <w:t>already  groups</w:t>
      </w:r>
      <w:proofErr w:type="gramEnd"/>
      <w:r w:rsidR="00E87596">
        <w:rPr>
          <w:rFonts w:ascii="Times New Roman" w:eastAsia="Calibri" w:hAnsi="Times New Roman" w:cs="Times New Roman"/>
          <w:sz w:val="24"/>
          <w:szCs w:val="24"/>
        </w:rPr>
        <w:t xml:space="preserve"> </w:t>
      </w:r>
      <w:r w:rsidR="001F2907" w:rsidRPr="001F2907">
        <w:rPr>
          <w:rFonts w:ascii="Times New Roman" w:eastAsia="Calibri" w:hAnsi="Times New Roman" w:cs="Times New Roman"/>
          <w:sz w:val="24"/>
          <w:szCs w:val="24"/>
        </w:rPr>
        <w:t xml:space="preserve"> zip codes served within </w:t>
      </w:r>
      <w:r w:rsidR="00E87596">
        <w:rPr>
          <w:rFonts w:ascii="Times New Roman" w:eastAsia="Calibri" w:hAnsi="Times New Roman" w:cs="Times New Roman"/>
          <w:sz w:val="24"/>
          <w:szCs w:val="24"/>
        </w:rPr>
        <w:t>each</w:t>
      </w:r>
      <w:r w:rsidR="001F2907" w:rsidRPr="001F2907">
        <w:rPr>
          <w:rFonts w:ascii="Times New Roman" w:eastAsia="Calibri" w:hAnsi="Times New Roman" w:cs="Times New Roman"/>
          <w:sz w:val="24"/>
          <w:szCs w:val="24"/>
        </w:rPr>
        <w:t xml:space="preserve"> Weather Zone</w:t>
      </w:r>
      <w:r w:rsidR="00E87596">
        <w:rPr>
          <w:rFonts w:ascii="Times New Roman" w:eastAsia="Calibri" w:hAnsi="Times New Roman" w:cs="Times New Roman"/>
          <w:sz w:val="24"/>
          <w:szCs w:val="24"/>
        </w:rPr>
        <w:t xml:space="preserve">, the basis for </w:t>
      </w:r>
      <w:r w:rsidR="000E7F6F">
        <w:rPr>
          <w:rFonts w:ascii="Times New Roman" w:eastAsia="Calibri" w:hAnsi="Times New Roman" w:cs="Times New Roman"/>
          <w:sz w:val="24"/>
          <w:szCs w:val="24"/>
        </w:rPr>
        <w:t>Power</w:t>
      </w:r>
      <w:r w:rsidR="001F2907" w:rsidRPr="001F2907">
        <w:rPr>
          <w:rFonts w:ascii="Times New Roman" w:eastAsia="Calibri" w:hAnsi="Times New Roman" w:cs="Times New Roman"/>
          <w:sz w:val="24"/>
          <w:szCs w:val="24"/>
        </w:rPr>
        <w:t xml:space="preserve"> Outage Alert system </w:t>
      </w:r>
      <w:r w:rsidR="000E7F6F">
        <w:rPr>
          <w:rFonts w:ascii="Times New Roman" w:eastAsia="Calibri" w:hAnsi="Times New Roman" w:cs="Times New Roman"/>
          <w:sz w:val="24"/>
          <w:szCs w:val="24"/>
        </w:rPr>
        <w:t>participants to pair those zip codes with new</w:t>
      </w:r>
      <w:r w:rsidR="001F2907" w:rsidRPr="001F2907">
        <w:rPr>
          <w:rFonts w:ascii="Times New Roman" w:eastAsia="Calibri" w:hAnsi="Times New Roman" w:cs="Times New Roman"/>
          <w:sz w:val="24"/>
          <w:szCs w:val="24"/>
        </w:rPr>
        <w:t xml:space="preserve"> alert regions </w:t>
      </w:r>
      <w:r w:rsidR="000E7F6F">
        <w:rPr>
          <w:rFonts w:ascii="Times New Roman" w:eastAsia="Calibri" w:hAnsi="Times New Roman" w:cs="Times New Roman"/>
          <w:sz w:val="24"/>
          <w:szCs w:val="24"/>
        </w:rPr>
        <w:t>already exists.</w:t>
      </w:r>
    </w:p>
    <w:p w14:paraId="69AC4CAF" w14:textId="77777777" w:rsidR="00E87629" w:rsidRPr="00817E7E" w:rsidRDefault="00E87629" w:rsidP="00817E7E">
      <w:pPr>
        <w:spacing w:after="0" w:line="360" w:lineRule="auto"/>
        <w:jc w:val="both"/>
        <w:rPr>
          <w:rFonts w:ascii="Times New Roman" w:eastAsia="Calibri" w:hAnsi="Times New Roman" w:cs="Times New Roman"/>
          <w:sz w:val="24"/>
          <w:szCs w:val="24"/>
        </w:rPr>
      </w:pPr>
    </w:p>
    <w:p w14:paraId="24CE4D51" w14:textId="77777777" w:rsidR="00817E7E" w:rsidRPr="00817E7E" w:rsidRDefault="00817E7E" w:rsidP="00817E7E">
      <w:pPr>
        <w:keepNext/>
        <w:numPr>
          <w:ilvl w:val="0"/>
          <w:numId w:val="3"/>
        </w:numPr>
        <w:autoSpaceDE w:val="0"/>
        <w:autoSpaceDN w:val="0"/>
        <w:adjustRightInd w:val="0"/>
        <w:spacing w:after="240" w:line="240" w:lineRule="auto"/>
        <w:contextualSpacing/>
        <w:jc w:val="both"/>
        <w:rPr>
          <w:rFonts w:ascii="Times New Roman" w:eastAsia="Calibri" w:hAnsi="Times New Roman" w:cs="Times New Roman"/>
          <w:b/>
          <w:bCs/>
          <w:iCs/>
          <w:sz w:val="24"/>
          <w:szCs w:val="24"/>
        </w:rPr>
      </w:pPr>
      <w:r w:rsidRPr="00817E7E">
        <w:rPr>
          <w:rFonts w:ascii="Times New Roman" w:eastAsia="Calibri" w:hAnsi="Times New Roman" w:cs="Times New Roman"/>
          <w:b/>
          <w:bCs/>
          <w:iCs/>
          <w:sz w:val="24"/>
          <w:szCs w:val="24"/>
        </w:rPr>
        <w:t>Government Code § 411.301(b) states, “The Public Utility Commission of Texas by rule shall adopt criteria for the content, activation, and termination of the alert…”  At what threshold should the commission choose for the alert to be activated?  Terminated?  What content would be the most helpful for inclusion in the alert?</w:t>
      </w:r>
    </w:p>
    <w:p w14:paraId="1978EACE" w14:textId="77777777" w:rsidR="00817E7E" w:rsidRPr="00817E7E" w:rsidRDefault="00817E7E" w:rsidP="00817E7E">
      <w:pPr>
        <w:spacing w:after="0" w:line="360" w:lineRule="auto"/>
        <w:jc w:val="both"/>
        <w:rPr>
          <w:rFonts w:ascii="Times New Roman" w:eastAsia="Calibri" w:hAnsi="Times New Roman" w:cs="Times New Roman"/>
          <w:sz w:val="24"/>
          <w:szCs w:val="24"/>
        </w:rPr>
      </w:pPr>
    </w:p>
    <w:p w14:paraId="4ED49429" w14:textId="7DB637F1"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TNMP’s </w:t>
      </w:r>
      <w:r w:rsidRPr="00817E7E">
        <w:rPr>
          <w:rFonts w:ascii="Times New Roman" w:eastAsia="Calibri" w:hAnsi="Times New Roman" w:cs="Times New Roman"/>
          <w:b/>
          <w:sz w:val="24"/>
          <w:szCs w:val="24"/>
        </w:rPr>
        <w:t xml:space="preserve">Response:  </w:t>
      </w:r>
    </w:p>
    <w:p w14:paraId="4C44D2FE" w14:textId="77777777" w:rsidR="00817E7E" w:rsidRPr="00817E7E" w:rsidRDefault="00817E7E" w:rsidP="00817E7E">
      <w:pPr>
        <w:autoSpaceDE w:val="0"/>
        <w:autoSpaceDN w:val="0"/>
        <w:adjustRightInd w:val="0"/>
        <w:spacing w:after="0" w:line="240" w:lineRule="auto"/>
        <w:jc w:val="both"/>
        <w:rPr>
          <w:rFonts w:ascii="Times New Roman" w:eastAsia="Calibri" w:hAnsi="Times New Roman" w:cs="Times New Roman"/>
          <w:b/>
          <w:sz w:val="24"/>
          <w:szCs w:val="24"/>
        </w:rPr>
      </w:pPr>
    </w:p>
    <w:p w14:paraId="7B8B65C3" w14:textId="7CD853E3" w:rsidR="00B56DD0" w:rsidRPr="00817E7E" w:rsidRDefault="00817E7E" w:rsidP="00817E7E">
      <w:pPr>
        <w:spacing w:after="0" w:line="360" w:lineRule="auto"/>
        <w:jc w:val="both"/>
        <w:rPr>
          <w:rFonts w:ascii="Times New Roman" w:eastAsia="Calibri" w:hAnsi="Times New Roman" w:cs="Times New Roman"/>
          <w:sz w:val="24"/>
          <w:szCs w:val="24"/>
        </w:rPr>
      </w:pPr>
      <w:r w:rsidRPr="00817E7E">
        <w:rPr>
          <w:rFonts w:ascii="Times New Roman" w:eastAsia="Calibri" w:hAnsi="Times New Roman" w:cs="Times New Roman"/>
          <w:b/>
          <w:sz w:val="24"/>
          <w:szCs w:val="24"/>
        </w:rPr>
        <w:tab/>
      </w:r>
      <w:r w:rsidR="00E1127E" w:rsidRPr="00E1127E">
        <w:rPr>
          <w:rFonts w:ascii="Times New Roman" w:eastAsia="Calibri" w:hAnsi="Times New Roman" w:cs="Times New Roman"/>
          <w:bCs/>
          <w:sz w:val="24"/>
          <w:szCs w:val="24"/>
        </w:rPr>
        <w:t xml:space="preserve">TNMP believes </w:t>
      </w:r>
      <w:r w:rsidR="00E1127E">
        <w:rPr>
          <w:rFonts w:ascii="Times New Roman" w:eastAsia="Calibri" w:hAnsi="Times New Roman" w:cs="Times New Roman"/>
          <w:bCs/>
          <w:sz w:val="24"/>
          <w:szCs w:val="24"/>
        </w:rPr>
        <w:t xml:space="preserve">alert messaging should be </w:t>
      </w:r>
      <w:r w:rsidR="00E1127E" w:rsidRPr="00B56DD0">
        <w:rPr>
          <w:rFonts w:ascii="Times New Roman" w:eastAsia="Calibri" w:hAnsi="Times New Roman" w:cs="Times New Roman"/>
          <w:bCs/>
          <w:sz w:val="24"/>
          <w:szCs w:val="24"/>
        </w:rPr>
        <w:t>based on the specific situation and constraint.</w:t>
      </w:r>
      <w:r w:rsidR="00E1127E">
        <w:rPr>
          <w:rFonts w:ascii="Times New Roman" w:eastAsia="Calibri" w:hAnsi="Times New Roman" w:cs="Times New Roman"/>
          <w:bCs/>
          <w:sz w:val="24"/>
          <w:szCs w:val="24"/>
        </w:rPr>
        <w:t xml:space="preserve"> For regional constraints, such messaging is likely to be very incident specific.</w:t>
      </w:r>
      <w:r w:rsidR="00081F3E">
        <w:rPr>
          <w:rFonts w:ascii="Times New Roman" w:eastAsia="Calibri" w:hAnsi="Times New Roman" w:cs="Times New Roman"/>
          <w:bCs/>
          <w:sz w:val="24"/>
          <w:szCs w:val="24"/>
        </w:rPr>
        <w:t xml:space="preserve"> </w:t>
      </w:r>
      <w:r w:rsidR="00E1127E">
        <w:rPr>
          <w:rFonts w:ascii="Times New Roman" w:eastAsia="Calibri" w:hAnsi="Times New Roman" w:cs="Times New Roman"/>
          <w:bCs/>
          <w:sz w:val="24"/>
          <w:szCs w:val="24"/>
        </w:rPr>
        <w:t xml:space="preserve"> However, systemwide incidents should </w:t>
      </w:r>
      <w:r w:rsidR="00081F3E">
        <w:rPr>
          <w:rFonts w:ascii="Times New Roman" w:eastAsia="Calibri" w:hAnsi="Times New Roman" w:cs="Times New Roman"/>
          <w:bCs/>
          <w:sz w:val="24"/>
          <w:szCs w:val="24"/>
        </w:rPr>
        <w:t>align with</w:t>
      </w:r>
      <w:r w:rsidR="00E1127E">
        <w:rPr>
          <w:rFonts w:ascii="Times New Roman" w:eastAsia="Calibri" w:hAnsi="Times New Roman" w:cs="Times New Roman"/>
          <w:bCs/>
          <w:sz w:val="24"/>
          <w:szCs w:val="24"/>
        </w:rPr>
        <w:t xml:space="preserve"> </w:t>
      </w:r>
      <w:r w:rsidR="00E1127E" w:rsidRPr="00817E7E">
        <w:rPr>
          <w:rFonts w:ascii="Times New Roman" w:eastAsia="Calibri" w:hAnsi="Times New Roman" w:cs="Times New Roman"/>
          <w:bCs/>
          <w:sz w:val="24"/>
          <w:szCs w:val="24"/>
        </w:rPr>
        <w:t>the stages of ERCOT’s Energy Emergency Alerts (EEA</w:t>
      </w:r>
      <w:r w:rsidR="00081F3E">
        <w:rPr>
          <w:rFonts w:ascii="Times New Roman" w:eastAsia="Calibri" w:hAnsi="Times New Roman" w:cs="Times New Roman"/>
          <w:bCs/>
          <w:sz w:val="24"/>
          <w:szCs w:val="24"/>
        </w:rPr>
        <w:t>)</w:t>
      </w:r>
      <w:r w:rsidR="00E1127E">
        <w:rPr>
          <w:rFonts w:ascii="Times New Roman" w:eastAsia="Calibri" w:hAnsi="Times New Roman" w:cs="Times New Roman"/>
          <w:b/>
          <w:sz w:val="24"/>
          <w:szCs w:val="24"/>
        </w:rPr>
        <w:t xml:space="preserve"> </w:t>
      </w:r>
      <w:r w:rsidR="00081F3E">
        <w:rPr>
          <w:rFonts w:ascii="Times New Roman" w:eastAsia="Calibri" w:hAnsi="Times New Roman" w:cs="Times New Roman"/>
          <w:bCs/>
          <w:sz w:val="24"/>
          <w:szCs w:val="24"/>
        </w:rPr>
        <w:t xml:space="preserve">between </w:t>
      </w:r>
      <w:r w:rsidRPr="00817E7E">
        <w:rPr>
          <w:rFonts w:ascii="Times New Roman" w:eastAsia="Calibri" w:hAnsi="Times New Roman" w:cs="Times New Roman"/>
          <w:sz w:val="24"/>
          <w:szCs w:val="24"/>
        </w:rPr>
        <w:t xml:space="preserve">ERCOT’s communications and the power outage alerts.  </w:t>
      </w:r>
      <w:r w:rsidR="00081F3E">
        <w:rPr>
          <w:rFonts w:ascii="Times New Roman" w:eastAsia="Calibri" w:hAnsi="Times New Roman" w:cs="Times New Roman"/>
          <w:sz w:val="24"/>
          <w:szCs w:val="24"/>
        </w:rPr>
        <w:t xml:space="preserve"> It is important that the alert system also provide communications when an incident is </w:t>
      </w:r>
      <w:proofErr w:type="gramStart"/>
      <w:r w:rsidR="00CD525D">
        <w:rPr>
          <w:rFonts w:ascii="Times New Roman" w:eastAsia="Calibri" w:hAnsi="Times New Roman" w:cs="Times New Roman"/>
          <w:sz w:val="24"/>
          <w:szCs w:val="24"/>
        </w:rPr>
        <w:t>terminated</w:t>
      </w:r>
      <w:proofErr w:type="gramEnd"/>
      <w:r w:rsidR="00081F3E">
        <w:rPr>
          <w:rFonts w:ascii="Times New Roman" w:eastAsia="Calibri" w:hAnsi="Times New Roman" w:cs="Times New Roman"/>
          <w:sz w:val="24"/>
          <w:szCs w:val="24"/>
        </w:rPr>
        <w:t xml:space="preserve"> or a</w:t>
      </w:r>
      <w:r w:rsidR="00CD525D">
        <w:rPr>
          <w:rFonts w:ascii="Times New Roman" w:eastAsia="Calibri" w:hAnsi="Times New Roman" w:cs="Times New Roman"/>
          <w:sz w:val="24"/>
          <w:szCs w:val="24"/>
        </w:rPr>
        <w:t>n</w:t>
      </w:r>
      <w:r w:rsidR="00081F3E">
        <w:rPr>
          <w:rFonts w:ascii="Times New Roman" w:eastAsia="Calibri" w:hAnsi="Times New Roman" w:cs="Times New Roman"/>
          <w:sz w:val="24"/>
          <w:szCs w:val="24"/>
        </w:rPr>
        <w:t xml:space="preserve"> EEA-level is decreased. </w:t>
      </w:r>
      <w:r w:rsidRPr="00817E7E">
        <w:rPr>
          <w:rFonts w:ascii="Times New Roman" w:eastAsia="Calibri" w:hAnsi="Times New Roman" w:cs="Times New Roman"/>
          <w:sz w:val="24"/>
          <w:szCs w:val="24"/>
        </w:rPr>
        <w:t xml:space="preserve"> </w:t>
      </w:r>
      <w:r w:rsidR="00081F3E">
        <w:rPr>
          <w:rFonts w:ascii="Times New Roman" w:eastAsia="Calibri" w:hAnsi="Times New Roman" w:cs="Times New Roman"/>
          <w:sz w:val="24"/>
          <w:szCs w:val="24"/>
        </w:rPr>
        <w:t>Specifically, messaging terminating an event or a reduction ceasing rotating outages under EEA Level 3 should inform</w:t>
      </w:r>
      <w:r w:rsidR="00081F3E" w:rsidRPr="00081F3E">
        <w:rPr>
          <w:rFonts w:ascii="Times New Roman" w:eastAsia="Calibri" w:hAnsi="Times New Roman" w:cs="Times New Roman"/>
          <w:sz w:val="24"/>
          <w:szCs w:val="24"/>
        </w:rPr>
        <w:t xml:space="preserve"> custome</w:t>
      </w:r>
      <w:r w:rsidR="00081F3E">
        <w:rPr>
          <w:rFonts w:ascii="Times New Roman" w:eastAsia="Calibri" w:hAnsi="Times New Roman" w:cs="Times New Roman"/>
          <w:sz w:val="24"/>
          <w:szCs w:val="24"/>
        </w:rPr>
        <w:t>rs</w:t>
      </w:r>
      <w:r w:rsidR="00081F3E" w:rsidRPr="00081F3E">
        <w:rPr>
          <w:rFonts w:ascii="Times New Roman" w:eastAsia="Calibri" w:hAnsi="Times New Roman" w:cs="Times New Roman"/>
          <w:sz w:val="24"/>
          <w:szCs w:val="24"/>
        </w:rPr>
        <w:t xml:space="preserve"> </w:t>
      </w:r>
      <w:r w:rsidR="00372617">
        <w:rPr>
          <w:rFonts w:ascii="Times New Roman" w:eastAsia="Calibri" w:hAnsi="Times New Roman" w:cs="Times New Roman"/>
          <w:sz w:val="24"/>
          <w:szCs w:val="24"/>
        </w:rPr>
        <w:t xml:space="preserve">to </w:t>
      </w:r>
      <w:r w:rsidR="00081F3E" w:rsidRPr="00081F3E">
        <w:rPr>
          <w:rFonts w:ascii="Times New Roman" w:eastAsia="Calibri" w:hAnsi="Times New Roman" w:cs="Times New Roman"/>
          <w:sz w:val="24"/>
          <w:szCs w:val="24"/>
        </w:rPr>
        <w:t>check breakers and contact their electric utility</w:t>
      </w:r>
      <w:r w:rsidR="00081F3E">
        <w:rPr>
          <w:rFonts w:ascii="Times New Roman" w:eastAsia="Calibri" w:hAnsi="Times New Roman" w:cs="Times New Roman"/>
          <w:sz w:val="24"/>
          <w:szCs w:val="24"/>
        </w:rPr>
        <w:t xml:space="preserve"> if they are still experiencing power interruption or outage. Such messaging w</w:t>
      </w:r>
      <w:r w:rsidR="00CD525D">
        <w:rPr>
          <w:rFonts w:ascii="Times New Roman" w:eastAsia="Calibri" w:hAnsi="Times New Roman" w:cs="Times New Roman"/>
          <w:sz w:val="24"/>
          <w:szCs w:val="24"/>
        </w:rPr>
        <w:t>i</w:t>
      </w:r>
      <w:r w:rsidR="00081F3E">
        <w:rPr>
          <w:rFonts w:ascii="Times New Roman" w:eastAsia="Calibri" w:hAnsi="Times New Roman" w:cs="Times New Roman"/>
          <w:sz w:val="24"/>
          <w:szCs w:val="24"/>
        </w:rPr>
        <w:t xml:space="preserve">ll assist restoration of equipment or other issues not related to either rotating outages or the incident sparking the alert. </w:t>
      </w:r>
    </w:p>
    <w:p w14:paraId="6E7FE39E" w14:textId="77777777" w:rsidR="00817E7E" w:rsidRPr="00817E7E" w:rsidRDefault="00817E7E" w:rsidP="00817E7E">
      <w:pPr>
        <w:spacing w:after="0" w:line="240" w:lineRule="auto"/>
        <w:ind w:left="720"/>
        <w:jc w:val="both"/>
        <w:rPr>
          <w:rFonts w:ascii="Times New Roman" w:eastAsia="Calibri" w:hAnsi="Times New Roman" w:cs="Times New Roman"/>
          <w:color w:val="1F497D"/>
          <w:sz w:val="24"/>
          <w:szCs w:val="24"/>
        </w:rPr>
      </w:pPr>
    </w:p>
    <w:p w14:paraId="3365CF65" w14:textId="3E32C721" w:rsidR="006910C4" w:rsidRDefault="00AE0B6C" w:rsidP="00AE0B6C">
      <w:pPr>
        <w:spacing w:after="0" w:line="480" w:lineRule="auto"/>
        <w:jc w:val="center"/>
        <w:rPr>
          <w:rFonts w:ascii="Times New Roman" w:eastAsia="Times New Roman" w:hAnsi="Times New Roman" w:cs="Times New Roman"/>
          <w:b/>
          <w:bCs/>
          <w:sz w:val="24"/>
          <w:szCs w:val="24"/>
        </w:rPr>
      </w:pPr>
      <w:r w:rsidRPr="00AE0B6C">
        <w:rPr>
          <w:rFonts w:ascii="Times New Roman" w:eastAsia="Times New Roman" w:hAnsi="Times New Roman" w:cs="Times New Roman"/>
          <w:b/>
          <w:bCs/>
          <w:sz w:val="24"/>
          <w:szCs w:val="24"/>
        </w:rPr>
        <w:t>CONCLUSION</w:t>
      </w:r>
    </w:p>
    <w:p w14:paraId="7C1CF095" w14:textId="17060600" w:rsidR="00AE0B6C" w:rsidRDefault="00AE0B6C" w:rsidP="00E87629">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TNMP appreciates the opportunity to respond to Commission Staff’s Questions for comment in this matter.</w:t>
      </w:r>
    </w:p>
    <w:p w14:paraId="2439C2C2" w14:textId="266E9A29" w:rsidR="009F014C" w:rsidRDefault="009F014C" w:rsidP="00AE0B6C">
      <w:pPr>
        <w:spacing w:after="0" w:line="48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Respectfully submitted,</w:t>
      </w:r>
    </w:p>
    <w:p w14:paraId="2F884C27" w14:textId="6657D4A4" w:rsidR="009F014C" w:rsidRPr="000E7F6F" w:rsidRDefault="000E7F6F" w:rsidP="009F014C">
      <w:pPr>
        <w:spacing w:after="0" w:line="240" w:lineRule="auto"/>
        <w:jc w:val="both"/>
        <w:rPr>
          <w:rFonts w:ascii="Times New Roman" w:eastAsia="Times New Roman" w:hAnsi="Times New Roman" w:cs="Times New Roman"/>
          <w:i/>
          <w:iCs/>
          <w:sz w:val="24"/>
          <w:szCs w:val="24"/>
          <w:u w:val="single"/>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i/>
          <w:iCs/>
          <w:sz w:val="24"/>
          <w:szCs w:val="24"/>
          <w:u w:val="single"/>
        </w:rPr>
        <w:t>/s/ Scott Seamster</w:t>
      </w:r>
    </w:p>
    <w:tbl>
      <w:tblPr>
        <w:tblStyle w:val="TableGrid"/>
        <w:tblW w:w="0" w:type="auto"/>
        <w:tblInd w:w="4315" w:type="dxa"/>
        <w:tblLook w:val="04A0" w:firstRow="1" w:lastRow="0" w:firstColumn="1" w:lastColumn="0" w:noHBand="0" w:noVBand="1"/>
      </w:tblPr>
      <w:tblGrid>
        <w:gridCol w:w="5035"/>
      </w:tblGrid>
      <w:tr w:rsidR="009F014C" w14:paraId="72316F11" w14:textId="77777777" w:rsidTr="009F014C">
        <w:tc>
          <w:tcPr>
            <w:tcW w:w="5035" w:type="dxa"/>
          </w:tcPr>
          <w:p w14:paraId="37099953"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Scott Seamster</w:t>
            </w:r>
          </w:p>
          <w:p w14:paraId="06F07F5A"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State Bar No. 00784939</w:t>
            </w:r>
          </w:p>
          <w:p w14:paraId="3B20212D"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Associate General Counsel</w:t>
            </w:r>
          </w:p>
          <w:p w14:paraId="3D26C43B" w14:textId="77777777" w:rsidR="009F014C" w:rsidRDefault="009F014C" w:rsidP="009F014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TEXAS-NEW MEXICO POWER COMPANY</w:t>
            </w:r>
          </w:p>
          <w:p w14:paraId="618D4B89"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577 N. Garden Ridge Blvd.</w:t>
            </w:r>
          </w:p>
          <w:p w14:paraId="33336166"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Lewisville, Texas 75067</w:t>
            </w:r>
          </w:p>
          <w:p w14:paraId="6ABD53CB"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214-223-4143</w:t>
            </w:r>
          </w:p>
          <w:p w14:paraId="317F27E1"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214-223-4156</w:t>
            </w:r>
          </w:p>
          <w:p w14:paraId="36C6582C" w14:textId="0ED76BDE" w:rsidR="009F014C" w:rsidRPr="009F014C" w:rsidRDefault="00871813" w:rsidP="009F014C">
            <w:pPr>
              <w:rPr>
                <w:rFonts w:ascii="Times New Roman" w:eastAsia="Times New Roman" w:hAnsi="Times New Roman" w:cs="Times New Roman"/>
                <w:sz w:val="24"/>
                <w:szCs w:val="24"/>
              </w:rPr>
            </w:pPr>
            <w:hyperlink r:id="rId8" w:history="1">
              <w:r w:rsidR="009F014C" w:rsidRPr="009C63AF">
                <w:rPr>
                  <w:rStyle w:val="Hyperlink"/>
                  <w:rFonts w:ascii="Times New Roman" w:eastAsia="Times New Roman" w:hAnsi="Times New Roman" w:cs="Times New Roman"/>
                  <w:sz w:val="24"/>
                  <w:szCs w:val="24"/>
                </w:rPr>
                <w:t>scott.seamster@pnmresources.com</w:t>
              </w:r>
            </w:hyperlink>
          </w:p>
        </w:tc>
      </w:tr>
      <w:tr w:rsidR="009F014C" w14:paraId="6B276A48" w14:textId="77777777" w:rsidTr="009F014C">
        <w:tc>
          <w:tcPr>
            <w:tcW w:w="5035" w:type="dxa"/>
          </w:tcPr>
          <w:p w14:paraId="39757C1E" w14:textId="46B698E1" w:rsidR="009F014C" w:rsidRPr="009F014C" w:rsidRDefault="009F014C" w:rsidP="009F014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ATTORNEY FOR TEXAS-NEW MEXICO POWER COMPANY</w:t>
            </w:r>
          </w:p>
        </w:tc>
      </w:tr>
    </w:tbl>
    <w:p w14:paraId="52B6038E" w14:textId="4730EEBE" w:rsidR="00BB0083" w:rsidRDefault="00BB0083" w:rsidP="00BB0083">
      <w:pPr>
        <w:jc w:val="center"/>
        <w:rPr>
          <w:rFonts w:ascii="Times New Roman" w:hAnsi="Times New Roman" w:cs="Times New Roman"/>
          <w:b/>
          <w:bCs/>
          <w:sz w:val="24"/>
          <w:szCs w:val="24"/>
        </w:rPr>
      </w:pPr>
    </w:p>
    <w:p w14:paraId="447357B8" w14:textId="17F90F07" w:rsidR="004E41DE" w:rsidRDefault="004E41DE" w:rsidP="00BB0083">
      <w:pPr>
        <w:jc w:val="center"/>
        <w:rPr>
          <w:rFonts w:ascii="Times New Roman" w:hAnsi="Times New Roman" w:cs="Times New Roman"/>
          <w:b/>
          <w:bCs/>
          <w:sz w:val="24"/>
          <w:szCs w:val="24"/>
        </w:rPr>
      </w:pPr>
    </w:p>
    <w:sectPr w:rsidR="004E41DE" w:rsidSect="00372617">
      <w:headerReference w:type="default" r:id="rId9"/>
      <w:footerReference w:type="default" r:id="rId10"/>
      <w:pgSz w:w="12240" w:h="15840"/>
      <w:pgMar w:top="1440" w:right="1152" w:bottom="144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8EEA0" w14:textId="77777777" w:rsidR="00764480" w:rsidRDefault="00764480" w:rsidP="009B4B64">
      <w:pPr>
        <w:spacing w:after="0" w:line="240" w:lineRule="auto"/>
      </w:pPr>
      <w:r>
        <w:separator/>
      </w:r>
    </w:p>
  </w:endnote>
  <w:endnote w:type="continuationSeparator" w:id="0">
    <w:p w14:paraId="50A3E764" w14:textId="77777777" w:rsidR="00764480" w:rsidRDefault="00764480" w:rsidP="009B4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4876583"/>
      <w:docPartObj>
        <w:docPartGallery w:val="Page Numbers (Bottom of Page)"/>
        <w:docPartUnique/>
      </w:docPartObj>
    </w:sdtPr>
    <w:sdtEndPr/>
    <w:sdtContent>
      <w:sdt>
        <w:sdtPr>
          <w:id w:val="-1769616900"/>
          <w:docPartObj>
            <w:docPartGallery w:val="Page Numbers (Top of Page)"/>
            <w:docPartUnique/>
          </w:docPartObj>
        </w:sdtPr>
        <w:sdtEndPr/>
        <w:sdtContent>
          <w:p w14:paraId="7B86DA79" w14:textId="53297472" w:rsidR="002106D5" w:rsidRDefault="002106D5" w:rsidP="009B4B64">
            <w:pPr>
              <w:pStyle w:val="Footer"/>
            </w:pPr>
            <w:r>
              <w:rPr>
                <w:rFonts w:ascii="Times New Roman" w:hAnsi="Times New Roman" w:cs="Times New Roman"/>
                <w:i/>
                <w:iCs/>
                <w:sz w:val="20"/>
                <w:szCs w:val="20"/>
              </w:rPr>
              <w:t xml:space="preserve">TNMP’s Responses to </w:t>
            </w:r>
            <w:r w:rsidR="006910C4">
              <w:rPr>
                <w:rFonts w:ascii="Times New Roman" w:hAnsi="Times New Roman" w:cs="Times New Roman"/>
                <w:i/>
                <w:iCs/>
                <w:sz w:val="20"/>
                <w:szCs w:val="20"/>
              </w:rPr>
              <w:t>Commission Staff’s Questions for Comment</w:t>
            </w:r>
            <w:r>
              <w:rPr>
                <w:rFonts w:ascii="Times New Roman" w:hAnsi="Times New Roman" w:cs="Times New Roman"/>
                <w:i/>
                <w:iCs/>
                <w:sz w:val="20"/>
                <w:szCs w:val="20"/>
              </w:rPr>
              <w:tab/>
            </w:r>
            <w:r w:rsidRPr="00D87A61">
              <w:rPr>
                <w:rFonts w:ascii="Times New Roman" w:hAnsi="Times New Roman" w:cs="Times New Roman"/>
              </w:rPr>
              <w:t xml:space="preserve">Page </w:t>
            </w:r>
            <w:r w:rsidRPr="00D87A61">
              <w:rPr>
                <w:rFonts w:ascii="Times New Roman" w:hAnsi="Times New Roman" w:cs="Times New Roman"/>
                <w:b/>
                <w:bCs/>
                <w:sz w:val="24"/>
                <w:szCs w:val="24"/>
              </w:rPr>
              <w:fldChar w:fldCharType="begin"/>
            </w:r>
            <w:r w:rsidRPr="00D87A61">
              <w:rPr>
                <w:rFonts w:ascii="Times New Roman" w:hAnsi="Times New Roman" w:cs="Times New Roman"/>
                <w:b/>
                <w:bCs/>
              </w:rPr>
              <w:instrText xml:space="preserve"> PAGE </w:instrText>
            </w:r>
            <w:r w:rsidRPr="00D87A61">
              <w:rPr>
                <w:rFonts w:ascii="Times New Roman" w:hAnsi="Times New Roman" w:cs="Times New Roman"/>
                <w:b/>
                <w:bCs/>
                <w:sz w:val="24"/>
                <w:szCs w:val="24"/>
              </w:rPr>
              <w:fldChar w:fldCharType="separate"/>
            </w:r>
            <w:r w:rsidRPr="00D87A61">
              <w:rPr>
                <w:rFonts w:ascii="Times New Roman" w:hAnsi="Times New Roman" w:cs="Times New Roman"/>
                <w:b/>
                <w:bCs/>
                <w:noProof/>
              </w:rPr>
              <w:t>2</w:t>
            </w:r>
            <w:r w:rsidRPr="00D87A61">
              <w:rPr>
                <w:rFonts w:ascii="Times New Roman" w:hAnsi="Times New Roman" w:cs="Times New Roman"/>
                <w:b/>
                <w:bCs/>
                <w:sz w:val="24"/>
                <w:szCs w:val="24"/>
              </w:rPr>
              <w:fldChar w:fldCharType="end"/>
            </w:r>
            <w:r w:rsidRPr="00D87A61">
              <w:rPr>
                <w:rFonts w:ascii="Times New Roman" w:hAnsi="Times New Roman" w:cs="Times New Roman"/>
              </w:rPr>
              <w:t xml:space="preserve"> of </w:t>
            </w:r>
            <w:r w:rsidRPr="00D87A61">
              <w:rPr>
                <w:rFonts w:ascii="Times New Roman" w:hAnsi="Times New Roman" w:cs="Times New Roman"/>
                <w:b/>
                <w:bCs/>
                <w:sz w:val="24"/>
                <w:szCs w:val="24"/>
              </w:rPr>
              <w:fldChar w:fldCharType="begin"/>
            </w:r>
            <w:r w:rsidRPr="00D87A61">
              <w:rPr>
                <w:rFonts w:ascii="Times New Roman" w:hAnsi="Times New Roman" w:cs="Times New Roman"/>
                <w:b/>
                <w:bCs/>
              </w:rPr>
              <w:instrText xml:space="preserve"> NUMPAGES  </w:instrText>
            </w:r>
            <w:r w:rsidRPr="00D87A61">
              <w:rPr>
                <w:rFonts w:ascii="Times New Roman" w:hAnsi="Times New Roman" w:cs="Times New Roman"/>
                <w:b/>
                <w:bCs/>
                <w:sz w:val="24"/>
                <w:szCs w:val="24"/>
              </w:rPr>
              <w:fldChar w:fldCharType="separate"/>
            </w:r>
            <w:r w:rsidRPr="00D87A61">
              <w:rPr>
                <w:rFonts w:ascii="Times New Roman" w:hAnsi="Times New Roman" w:cs="Times New Roman"/>
                <w:b/>
                <w:bCs/>
                <w:noProof/>
              </w:rPr>
              <w:t>2</w:t>
            </w:r>
            <w:r w:rsidRPr="00D87A61">
              <w:rPr>
                <w:rFonts w:ascii="Times New Roman" w:hAnsi="Times New Roman" w:cs="Times New Roman"/>
                <w:b/>
                <w:bCs/>
                <w:sz w:val="24"/>
                <w:szCs w:val="24"/>
              </w:rPr>
              <w:fldChar w:fldCharType="end"/>
            </w:r>
          </w:p>
        </w:sdtContent>
      </w:sdt>
    </w:sdtContent>
  </w:sdt>
  <w:p w14:paraId="404EACB1" w14:textId="77777777" w:rsidR="002106D5" w:rsidRDefault="00210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D9F21" w14:textId="77777777" w:rsidR="00764480" w:rsidRDefault="00764480" w:rsidP="009B4B64">
      <w:pPr>
        <w:spacing w:after="0" w:line="240" w:lineRule="auto"/>
      </w:pPr>
      <w:r>
        <w:separator/>
      </w:r>
    </w:p>
  </w:footnote>
  <w:footnote w:type="continuationSeparator" w:id="0">
    <w:p w14:paraId="7E06244B" w14:textId="77777777" w:rsidR="00764480" w:rsidRDefault="00764480" w:rsidP="009B4B64">
      <w:pPr>
        <w:spacing w:after="0" w:line="240" w:lineRule="auto"/>
      </w:pPr>
      <w:r>
        <w:continuationSeparator/>
      </w:r>
    </w:p>
  </w:footnote>
  <w:footnote w:id="1">
    <w:p w14:paraId="7E57E30A" w14:textId="50B84161" w:rsidR="00E87596" w:rsidRDefault="00E87596">
      <w:pPr>
        <w:pStyle w:val="FootnoteText"/>
      </w:pPr>
      <w:r>
        <w:rPr>
          <w:rStyle w:val="FootnoteReference"/>
        </w:rPr>
        <w:footnoteRef/>
      </w:r>
      <w:r>
        <w:t xml:space="preserve"> </w:t>
      </w:r>
      <w:r w:rsidRPr="00E87596">
        <w:t>ERCOT Load Profiling Guide, Appendix D – Profile Decision Tree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0186A" w14:textId="16F8FCFE" w:rsidR="002106D5" w:rsidRPr="009B4B64" w:rsidRDefault="002106D5" w:rsidP="009B4B64">
    <w:pPr>
      <w:pStyle w:val="Header"/>
      <w:jc w:val="center"/>
      <w:rPr>
        <w:rFonts w:ascii="Times New Roman" w:hAnsi="Times New Roman" w:cs="Times New Roman"/>
        <w:b/>
        <w:bCs/>
        <w:sz w:val="24"/>
        <w:szCs w:val="24"/>
      </w:rPr>
    </w:pPr>
    <w:r w:rsidRPr="009B4B64">
      <w:rPr>
        <w:rFonts w:ascii="Times New Roman" w:hAnsi="Times New Roman" w:cs="Times New Roman"/>
        <w:b/>
        <w:bCs/>
        <w:sz w:val="24"/>
        <w:szCs w:val="24"/>
      </w:rPr>
      <w:t xml:space="preserve">TEXAS-NEW MEXICO POWER COMPANY’S RESPONSES TO </w:t>
    </w:r>
    <w:r w:rsidR="006910C4">
      <w:rPr>
        <w:rFonts w:ascii="Times New Roman" w:hAnsi="Times New Roman" w:cs="Times New Roman"/>
        <w:b/>
        <w:bCs/>
        <w:sz w:val="24"/>
        <w:szCs w:val="24"/>
      </w:rPr>
      <w:t>COMMISSION STAFF’S QUESTION FOR COMMENT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22A22"/>
    <w:multiLevelType w:val="hybridMultilevel"/>
    <w:tmpl w:val="D50009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4D2F44"/>
    <w:multiLevelType w:val="hybridMultilevel"/>
    <w:tmpl w:val="03BE0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E995542"/>
    <w:multiLevelType w:val="hybridMultilevel"/>
    <w:tmpl w:val="C3A412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EF"/>
    <w:rsid w:val="00081F3E"/>
    <w:rsid w:val="000A5C6C"/>
    <w:rsid w:val="000E7F6F"/>
    <w:rsid w:val="00123140"/>
    <w:rsid w:val="001F2907"/>
    <w:rsid w:val="002106D5"/>
    <w:rsid w:val="003019A9"/>
    <w:rsid w:val="00372617"/>
    <w:rsid w:val="00430522"/>
    <w:rsid w:val="004E41DE"/>
    <w:rsid w:val="00567030"/>
    <w:rsid w:val="005C388D"/>
    <w:rsid w:val="005D51EF"/>
    <w:rsid w:val="0062275F"/>
    <w:rsid w:val="00650F42"/>
    <w:rsid w:val="00652557"/>
    <w:rsid w:val="006910C4"/>
    <w:rsid w:val="00703D78"/>
    <w:rsid w:val="00764480"/>
    <w:rsid w:val="007C1626"/>
    <w:rsid w:val="008117DA"/>
    <w:rsid w:val="00817E7E"/>
    <w:rsid w:val="00871813"/>
    <w:rsid w:val="009A2180"/>
    <w:rsid w:val="009B4B64"/>
    <w:rsid w:val="009F014C"/>
    <w:rsid w:val="00AE0B6C"/>
    <w:rsid w:val="00B22F50"/>
    <w:rsid w:val="00B56DD0"/>
    <w:rsid w:val="00BB0083"/>
    <w:rsid w:val="00BD2289"/>
    <w:rsid w:val="00C07F77"/>
    <w:rsid w:val="00CD525D"/>
    <w:rsid w:val="00D055E0"/>
    <w:rsid w:val="00D23F55"/>
    <w:rsid w:val="00D87A61"/>
    <w:rsid w:val="00DB72C4"/>
    <w:rsid w:val="00E1127E"/>
    <w:rsid w:val="00E87596"/>
    <w:rsid w:val="00E87629"/>
    <w:rsid w:val="00EA0E90"/>
    <w:rsid w:val="00F732BB"/>
    <w:rsid w:val="00F93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E5AD5B"/>
  <w15:chartTrackingRefBased/>
  <w15:docId w15:val="{3F7871B6-94B0-4E45-B7B6-C4B897D0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0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F014C"/>
    <w:rPr>
      <w:color w:val="0563C1" w:themeColor="hyperlink"/>
      <w:u w:val="single"/>
    </w:rPr>
  </w:style>
  <w:style w:type="character" w:styleId="UnresolvedMention">
    <w:name w:val="Unresolved Mention"/>
    <w:basedOn w:val="DefaultParagraphFont"/>
    <w:uiPriority w:val="99"/>
    <w:semiHidden/>
    <w:unhideWhenUsed/>
    <w:rsid w:val="009F014C"/>
    <w:rPr>
      <w:color w:val="605E5C"/>
      <w:shd w:val="clear" w:color="auto" w:fill="E1DFDD"/>
    </w:rPr>
  </w:style>
  <w:style w:type="paragraph" w:styleId="ListParagraph">
    <w:name w:val="List Paragraph"/>
    <w:basedOn w:val="Normal"/>
    <w:uiPriority w:val="34"/>
    <w:qFormat/>
    <w:rsid w:val="009F014C"/>
    <w:pPr>
      <w:ind w:left="720"/>
      <w:contextualSpacing/>
    </w:pPr>
  </w:style>
  <w:style w:type="paragraph" w:styleId="Header">
    <w:name w:val="header"/>
    <w:basedOn w:val="Normal"/>
    <w:link w:val="HeaderChar"/>
    <w:uiPriority w:val="99"/>
    <w:unhideWhenUsed/>
    <w:rsid w:val="009B4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B64"/>
  </w:style>
  <w:style w:type="paragraph" w:styleId="Footer">
    <w:name w:val="footer"/>
    <w:basedOn w:val="Normal"/>
    <w:link w:val="FooterChar"/>
    <w:uiPriority w:val="99"/>
    <w:unhideWhenUsed/>
    <w:rsid w:val="009B4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B64"/>
  </w:style>
  <w:style w:type="paragraph" w:styleId="FootnoteText">
    <w:name w:val="footnote text"/>
    <w:basedOn w:val="Normal"/>
    <w:link w:val="FootnoteTextChar"/>
    <w:uiPriority w:val="99"/>
    <w:semiHidden/>
    <w:unhideWhenUsed/>
    <w:rsid w:val="00E875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7596"/>
    <w:rPr>
      <w:sz w:val="20"/>
      <w:szCs w:val="20"/>
    </w:rPr>
  </w:style>
  <w:style w:type="character" w:styleId="FootnoteReference">
    <w:name w:val="footnote reference"/>
    <w:basedOn w:val="DefaultParagraphFont"/>
    <w:uiPriority w:val="99"/>
    <w:semiHidden/>
    <w:unhideWhenUsed/>
    <w:rsid w:val="00E875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22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seamster@pnmresource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B7F7-478A-45B9-8FAB-60610F19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Piontek, Cathie</dc:creator>
  <cp:keywords/>
  <dc:description/>
  <cp:lastModifiedBy>Piontek, Cathie</cp:lastModifiedBy>
  <cp:revision>3</cp:revision>
  <dcterms:created xsi:type="dcterms:W3CDTF">2021-08-13T19:33:00Z</dcterms:created>
  <dcterms:modified xsi:type="dcterms:W3CDTF">2021-08-13T19:39:00Z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67428c-8df2-41b3-925f-2e32f93f53ed_Enabled">
    <vt:lpwstr>true</vt:lpwstr>
  </property>
  <property fmtid="{D5CDD505-2E9C-101B-9397-08002B2CF9AE}" pid="3" name="MSIP_Label_f367428c-8df2-41b3-925f-2e32f93f53ed_SetDate">
    <vt:lpwstr>2021-08-11T12:03:18Z</vt:lpwstr>
  </property>
  <property fmtid="{D5CDD505-2E9C-101B-9397-08002B2CF9AE}" pid="4" name="MSIP_Label_f367428c-8df2-41b3-925f-2e32f93f53ed_Method">
    <vt:lpwstr>Standard</vt:lpwstr>
  </property>
  <property fmtid="{D5CDD505-2E9C-101B-9397-08002B2CF9AE}" pid="5" name="MSIP_Label_f367428c-8df2-41b3-925f-2e32f93f53ed_Name">
    <vt:lpwstr>f367428c-8df2-41b3-925f-2e32f93f53ed</vt:lpwstr>
  </property>
  <property fmtid="{D5CDD505-2E9C-101B-9397-08002B2CF9AE}" pid="6" name="MSIP_Label_f367428c-8df2-41b3-925f-2e32f93f53ed_SiteId">
    <vt:lpwstr>6c1ea1fd-d5ee-4dc8-bcfe-8877bd40388b</vt:lpwstr>
  </property>
  <property fmtid="{D5CDD505-2E9C-101B-9397-08002B2CF9AE}" pid="7" name="MSIP_Label_f367428c-8df2-41b3-925f-2e32f93f53ed_ActionId">
    <vt:lpwstr>e232f383-0d0f-4f88-a0f9-a685ef62c117</vt:lpwstr>
  </property>
  <property fmtid="{D5CDD505-2E9C-101B-9397-08002B2CF9AE}" pid="8" name="MSIP_Label_f367428c-8df2-41b3-925f-2e32f93f53ed_ContentBits">
    <vt:lpwstr>0</vt:lpwstr>
  </property>
</Properties>
</file>